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A6F1" w14:textId="77777777" w:rsidR="00A77B3E" w:rsidRDefault="00561417">
      <w:pPr>
        <w:jc w:val="center"/>
        <w:rPr>
          <w:b/>
          <w:caps/>
        </w:rPr>
      </w:pPr>
      <w:r>
        <w:rPr>
          <w:b/>
          <w:caps/>
        </w:rPr>
        <w:t>Uchwała nr XXI/239/25</w:t>
      </w:r>
      <w:r>
        <w:rPr>
          <w:b/>
          <w:caps/>
        </w:rPr>
        <w:br/>
        <w:t>Rady Miejskiej w Gostyniu</w:t>
      </w:r>
    </w:p>
    <w:p w14:paraId="6DEC4F89" w14:textId="77777777" w:rsidR="00A77B3E" w:rsidRDefault="00561417">
      <w:pPr>
        <w:spacing w:before="280" w:after="280"/>
        <w:jc w:val="center"/>
        <w:rPr>
          <w:b/>
          <w:caps/>
        </w:rPr>
      </w:pPr>
      <w:r>
        <w:t>z dnia 27 listopada 2025 r.</w:t>
      </w:r>
    </w:p>
    <w:p w14:paraId="1DB42F96" w14:textId="77777777" w:rsidR="00A77B3E" w:rsidRDefault="00561417">
      <w:pPr>
        <w:keepNext/>
        <w:spacing w:after="480"/>
        <w:jc w:val="center"/>
      </w:pPr>
      <w:r>
        <w:rPr>
          <w:b/>
        </w:rPr>
        <w:t>w sprawie rozpatrzenia petycji dotyczącej  budowy oświetlenia ulicznego i trwałego utwardzenia drogi gminnej</w:t>
      </w:r>
    </w:p>
    <w:p w14:paraId="249247DD" w14:textId="77777777" w:rsidR="00A77B3E" w:rsidRDefault="00561417">
      <w:pPr>
        <w:keepLines/>
        <w:spacing w:before="120" w:after="120"/>
        <w:ind w:firstLine="227"/>
      </w:pPr>
      <w:r>
        <w:t>Na podstawie art. 18b ust. 1 ustawy z dnia 8 marca 1990 r. o samorządzie gminnym (tekst jednolity Dz.U. z 2025 r., poz. 1153) w związku z art. 9 ust. 2 i art.13 ust.1 ustawy z 11 lipca 2014 r. o petycjach (t. j. Dz.U. z 2018 r. poz.870), oraz po zapoznaniu się z opinią Komisji Skarg, Wniosków i Petycji,</w:t>
      </w:r>
    </w:p>
    <w:p w14:paraId="1ADBAFDF" w14:textId="77777777" w:rsidR="00A77B3E" w:rsidRDefault="00561417">
      <w:pPr>
        <w:spacing w:before="120" w:after="120"/>
        <w:ind w:firstLine="227"/>
      </w:pPr>
      <w:r>
        <w:t>Rada Miejska w Gostyniu uchwala, co następuje:</w:t>
      </w:r>
    </w:p>
    <w:p w14:paraId="78F6B588" w14:textId="77777777" w:rsidR="00A77B3E" w:rsidRDefault="00561417">
      <w:pPr>
        <w:keepLines/>
        <w:spacing w:before="120" w:after="120"/>
        <w:ind w:firstLine="340"/>
      </w:pPr>
      <w:r>
        <w:rPr>
          <w:b/>
        </w:rPr>
        <w:t>§ 1. </w:t>
      </w:r>
      <w:r>
        <w:t>Po rozpatrzeniu petycji złożonej przez mieszkańców ulicy Spacerowej w Kunowie w sprawie budowy oświetlenia ulicznego i trwałego utwardzenia drogi gminnej, uznaje się ją za zasadną zaś jej załatwienie nastąpi poprzez zwrócenie się do organu wykonawczego gminy Gostyń o czynienie starań do pozyskania środków finansowych, które umożliwią ujęcie wymienionej inwestycji w budżecie Gminy Gostyń na 2026 rok.</w:t>
      </w:r>
    </w:p>
    <w:p w14:paraId="2B9F131A" w14:textId="77777777" w:rsidR="00A77B3E" w:rsidRDefault="00561417">
      <w:pPr>
        <w:keepLines/>
        <w:spacing w:before="120" w:after="120"/>
        <w:ind w:firstLine="340"/>
      </w:pPr>
      <w:r>
        <w:rPr>
          <w:b/>
        </w:rPr>
        <w:t>§ 2. </w:t>
      </w:r>
      <w:r>
        <w:t>Zobowiązuje się Przewodniczącego Rady Miejskiej w Gostyniu do poinformowania składającego petycję o sposobie jej załatwienia.</w:t>
      </w:r>
    </w:p>
    <w:p w14:paraId="10AC871E" w14:textId="77777777" w:rsidR="00A77B3E" w:rsidRDefault="00561417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45C845FE" w14:textId="77777777" w:rsidR="00A77B3E" w:rsidRDefault="00561417">
      <w:pPr>
        <w:keepNext/>
        <w:keepLines/>
        <w:spacing w:before="120" w:after="120"/>
        <w:ind w:firstLine="227"/>
      </w:pPr>
      <w:r>
        <w:t> </w:t>
      </w:r>
    </w:p>
    <w:p w14:paraId="2F31EEAD" w14:textId="77777777" w:rsidR="00A77B3E" w:rsidRDefault="0056141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E2C93" w14:paraId="7FC0C98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E2EAD" w14:textId="77777777" w:rsidR="00EE2C93" w:rsidRDefault="00EE2C9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175CB" w14:textId="77777777" w:rsidR="00EE2C93" w:rsidRDefault="0056141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21FF551F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5B715875" w14:textId="77777777" w:rsidR="00EE2C93" w:rsidRDefault="00EE2C93">
      <w:pPr>
        <w:rPr>
          <w:szCs w:val="20"/>
        </w:rPr>
      </w:pPr>
    </w:p>
    <w:p w14:paraId="265B644F" w14:textId="77777777" w:rsidR="00EE2C93" w:rsidRDefault="00561417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B240271" w14:textId="77777777" w:rsidR="00EE2C93" w:rsidRDefault="00561417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XXI/239/25</w:t>
      </w:r>
    </w:p>
    <w:p w14:paraId="4F7E776D" w14:textId="77777777" w:rsidR="00EE2C93" w:rsidRDefault="00561417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41B86A49" w14:textId="77777777" w:rsidR="00EE2C93" w:rsidRDefault="00561417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 listopada 2025 r.</w:t>
      </w:r>
    </w:p>
    <w:p w14:paraId="5AD25C9E" w14:textId="77777777" w:rsidR="00EE2C93" w:rsidRDefault="00561417">
      <w:pPr>
        <w:spacing w:before="120" w:after="120"/>
        <w:jc w:val="center"/>
        <w:rPr>
          <w:b/>
          <w:szCs w:val="20"/>
        </w:rPr>
      </w:pPr>
      <w:r>
        <w:rPr>
          <w:b/>
          <w:szCs w:val="20"/>
        </w:rPr>
        <w:t>w sprawie rozpatrzenia petycji dotyczącej  budowy oświetlenia ulicznego i trwałego utwardzenia drogi gminnej</w:t>
      </w:r>
    </w:p>
    <w:p w14:paraId="5337FB07" w14:textId="77777777" w:rsidR="00EE2C93" w:rsidRDefault="00561417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W dniu 1 października 2025 r. do Biura Rady Miejskiej w Gostyniu wpłynęła petycja złożona przez mieszkańców ulicy Spacerowej w Kunowie w sprawie budowy oświetlenia ulicznego i trwałego utwardzenia drogi gminnej.</w:t>
      </w:r>
    </w:p>
    <w:p w14:paraId="25A62F62" w14:textId="77777777" w:rsidR="00EE2C93" w:rsidRDefault="00561417">
      <w:pPr>
        <w:spacing w:before="120" w:after="120"/>
        <w:ind w:firstLine="227"/>
        <w:rPr>
          <w:szCs w:val="20"/>
        </w:rPr>
      </w:pPr>
      <w:r>
        <w:rPr>
          <w:szCs w:val="20"/>
        </w:rPr>
        <w:t>W pierwszej kolejności komisja sprawdziła czy petycja spełnia wymogi formalne w myśl art. 4 ustawy o petycjach. Po przeprowadzonej dyskusji, podczas posiedzenia w wyniku głosowania członków Komisji, 4 za wydała opinię o zasadności petycji.</w:t>
      </w:r>
    </w:p>
    <w:p w14:paraId="73749565" w14:textId="77777777" w:rsidR="00EE2C93" w:rsidRDefault="00561417">
      <w:pPr>
        <w:spacing w:before="120" w:after="120"/>
        <w:ind w:firstLine="227"/>
        <w:rPr>
          <w:szCs w:val="20"/>
        </w:rPr>
      </w:pPr>
      <w:r>
        <w:rPr>
          <w:szCs w:val="20"/>
        </w:rPr>
        <w:t>Wobec powyższego Komisja Skarg, Wniosków i Petycji ustaliła, co następuje, uznała petycję za zasadną z przyczyn określonych w poniższym uzasadnieniu.</w:t>
      </w:r>
    </w:p>
    <w:p w14:paraId="5A9438E1" w14:textId="77777777" w:rsidR="00EE2C93" w:rsidRDefault="00561417">
      <w:pPr>
        <w:spacing w:before="120" w:after="120"/>
        <w:ind w:firstLine="227"/>
        <w:rPr>
          <w:szCs w:val="20"/>
        </w:rPr>
      </w:pPr>
      <w:r>
        <w:rPr>
          <w:szCs w:val="20"/>
        </w:rPr>
        <w:t>Zawarte w piśmie postulaty w sprawie budowy oświetlenia ulicznego drogi gminnej  na ulicy Spacerowej w Kunowie, na odcinku za posesją nr 15 do posesji nr 33 oraz dalej w kierunku żwirowni, a także utwardzenie drogi gminnej na wskazanym odcinku w sposób zapewniający trwałość nawierzchni, odporność na obciążenia, należą do kompetencji organów samorządu gminnego.</w:t>
      </w:r>
    </w:p>
    <w:p w14:paraId="0356ECE1" w14:textId="77777777" w:rsidR="00EE2C93" w:rsidRDefault="00561417">
      <w:pPr>
        <w:spacing w:before="120" w:after="120"/>
        <w:ind w:firstLine="227"/>
        <w:rPr>
          <w:szCs w:val="20"/>
        </w:rPr>
      </w:pPr>
      <w:r>
        <w:rPr>
          <w:szCs w:val="20"/>
        </w:rPr>
        <w:t>Komisja Skarg, Wniosków i Petycji przychyliła się do stanowiska Burmistrza Gostynia, jest świadoma potrzeb realizacji zadań wskazanych w petycji. Czynione są starania zmierzające do pozyskania środków finansowych, które umożliwią ujęcie przedmiotowych inwestycji w budżecie Gminy Gostyń na 2026 rok.</w:t>
      </w:r>
    </w:p>
    <w:p w14:paraId="38CA1EBF" w14:textId="77777777" w:rsidR="00EE2C93" w:rsidRDefault="00561417">
      <w:pPr>
        <w:spacing w:before="120" w:after="120"/>
        <w:ind w:firstLine="227"/>
        <w:rPr>
          <w:szCs w:val="20"/>
        </w:rPr>
      </w:pPr>
      <w:r>
        <w:rPr>
          <w:szCs w:val="20"/>
        </w:rPr>
        <w:t>Mając na uwadze powyższe należy petycję uznać za zasadną</w:t>
      </w:r>
    </w:p>
    <w:p w14:paraId="3D0A6944" w14:textId="77777777" w:rsidR="00EE2C93" w:rsidRDefault="00561417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W związku powyższym podjęcie uchwały jest zasadne.</w:t>
      </w:r>
    </w:p>
    <w:p w14:paraId="53753469" w14:textId="77777777" w:rsidR="00EE2C93" w:rsidRDefault="00561417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E2C93" w14:paraId="0E8D1E80" w14:textId="77777777">
        <w:tc>
          <w:tcPr>
            <w:tcW w:w="5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890C3" w14:textId="77777777" w:rsidR="00EE2C93" w:rsidRDefault="00EE2C93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5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662E8" w14:textId="77777777" w:rsidR="00EE2C93" w:rsidRDefault="00561417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Przewodniczący Rady Miejskiej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Mateusz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Matysiak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14:paraId="56D7BB29" w14:textId="77777777" w:rsidR="00EE2C93" w:rsidRDefault="00EE2C93">
      <w:pPr>
        <w:keepNext/>
        <w:rPr>
          <w:szCs w:val="20"/>
        </w:rPr>
      </w:pPr>
    </w:p>
    <w:sectPr w:rsidR="00EE2C93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553F" w14:textId="77777777" w:rsidR="00561417" w:rsidRDefault="00561417">
      <w:r>
        <w:separator/>
      </w:r>
    </w:p>
  </w:endnote>
  <w:endnote w:type="continuationSeparator" w:id="0">
    <w:p w14:paraId="2256F939" w14:textId="77777777" w:rsidR="00561417" w:rsidRDefault="0056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E2C93" w14:paraId="4A7A4D4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11A2A54" w14:textId="77777777" w:rsidR="00EE2C93" w:rsidRDefault="00561417">
          <w:pPr>
            <w:jc w:val="left"/>
            <w:rPr>
              <w:sz w:val="18"/>
            </w:rPr>
          </w:pPr>
          <w:r>
            <w:rPr>
              <w:sz w:val="18"/>
            </w:rPr>
            <w:t>Id: EE47E9BF-FC54-4B75-A9E1-FA0C22B64816.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3D69762" w14:textId="77777777" w:rsidR="00EE2C93" w:rsidRDefault="0056141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0F3DCAF" w14:textId="77777777" w:rsidR="00EE2C93" w:rsidRDefault="00EE2C9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E2C93" w14:paraId="44CD2B8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30FAB28" w14:textId="77777777" w:rsidR="00EE2C93" w:rsidRDefault="00561417">
          <w:pPr>
            <w:jc w:val="left"/>
            <w:rPr>
              <w:sz w:val="18"/>
            </w:rPr>
          </w:pPr>
          <w:r>
            <w:rPr>
              <w:sz w:val="18"/>
            </w:rPr>
            <w:t>Id: EE47E9BF-FC54-4B75-A9E1-FA0C22B64816.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B25D0F0" w14:textId="77777777" w:rsidR="00EE2C93" w:rsidRDefault="0056141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E0BCE8D" w14:textId="77777777" w:rsidR="00EE2C93" w:rsidRDefault="00EE2C9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66DC" w14:textId="77777777" w:rsidR="00561417" w:rsidRDefault="00561417">
      <w:r>
        <w:separator/>
      </w:r>
    </w:p>
  </w:footnote>
  <w:footnote w:type="continuationSeparator" w:id="0">
    <w:p w14:paraId="56C44BB3" w14:textId="77777777" w:rsidR="00561417" w:rsidRDefault="0056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84625"/>
    <w:rsid w:val="00561417"/>
    <w:rsid w:val="00A77B3E"/>
    <w:rsid w:val="00CA2A55"/>
    <w:rsid w:val="00E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FBE84"/>
  <w15:docId w15:val="{2EF1A4CE-CC4E-4093-9A89-13EDFA48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XXI/239/25 z dnia 27 listopada 2025 r.</dc:title>
  <dc:subject>w sprawie rozpatrzenia petycji dotyczącej  budowy oświetlenia ulicznego i^trwałego utwardzenia drogi gminnej</dc:subject>
  <dc:creator>mmajewska</dc:creator>
  <cp:lastModifiedBy>Milena Majewska</cp:lastModifiedBy>
  <cp:revision>2</cp:revision>
  <dcterms:created xsi:type="dcterms:W3CDTF">2025-12-03T13:35:00Z</dcterms:created>
  <dcterms:modified xsi:type="dcterms:W3CDTF">2025-12-03T13:35:00Z</dcterms:modified>
  <cp:category>Akt prawny</cp:category>
</cp:coreProperties>
</file>